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Superintendencia de Policía Científica.</w:t>
      </w:r>
      <w:r w:rsidDel="00000000" w:rsidR="00000000" w:rsidRPr="00000000">
        <w:rPr>
          <w:rtl w:val="0"/>
        </w:rPr>
      </w:r>
    </w:p>
    <w:p w:rsidR="00000000" w:rsidDel="00000000" w:rsidP="00000000" w:rsidRDefault="00000000" w:rsidRPr="00000000" w14:paraId="00000002">
      <w:pPr>
        <w:spacing w:after="0" w:line="48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i w:val="1"/>
          <w:iCs w:val="1"/>
          <w:sz w:val="22"/>
          <w:szCs w:val="22"/>
          <w:rtl w:val="0"/>
        </w:rPr>
        <w:t xml:space="preserve">C</w:t>
      </w:r>
      <w:r w:rsidDel="00000000" w:rsidR="00000000" w:rsidRPr="00000000">
        <w:rPr>
          <w:rFonts w:ascii="Arial" w:cs="Arial" w:eastAsia="Arial" w:hAnsi="Arial"/>
          <w:b w:val="0"/>
          <w:bCs w:val="0"/>
          <w:sz w:val="22"/>
          <w:szCs w:val="22"/>
          <w:rtl w:val="0"/>
        </w:rPr>
        <w:t xml:space="preserve">urso de análisis toxicológicos y de secuestros de drogas de abuso mediante GC-FID-MS, LC-HRMS y espectrofotometría FTIR.</w:t>
      </w:r>
    </w:p>
    <w:p w:rsidR="00000000" w:rsidDel="00000000" w:rsidP="00000000" w:rsidRDefault="00000000" w:rsidRPr="00000000" w14:paraId="00000005">
      <w:pPr>
        <w:pStyle w:val="Heading1"/>
        <w:spacing w:after="0" w:before="0" w:line="360" w:lineRule="auto"/>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06">
      <w:pPr>
        <w:pStyle w:val="Heading1"/>
        <w:spacing w:after="0" w:before="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Style w:val="Heading1"/>
        <w:spacing w:after="0" w:before="0" w:line="48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Descripción:</w:t>
      </w:r>
      <w:r w:rsidDel="00000000" w:rsidR="00000000" w:rsidRPr="00000000">
        <w:rPr>
          <w:rtl w:val="0"/>
        </w:rPr>
      </w:r>
    </w:p>
    <w:p w:rsidR="00000000" w:rsidDel="00000000" w:rsidP="00000000" w:rsidRDefault="00000000" w:rsidRPr="00000000" w14:paraId="00000008">
      <w:pPr>
        <w:spacing w:after="0" w:before="204"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Este curso de capacitación busca que todo efectivo que se capacite puede ser un futuro multiplicador del conocimiento adquirido, impulsando el crecimiento de esta Superintendencia de Policía Científica. La intención es jerarquizar y optimizar el trabajo de los profesionales de esta área, aportando conocimientos teóricos/prácticos avanzados para el procesamiento de muestras para la identificación de drogas de abuso (y sus metabolitos) en muestras biológicas o secuestros de sustancias.</w:t>
      </w:r>
    </w:p>
    <w:p w:rsidR="00000000" w:rsidDel="00000000" w:rsidP="00000000" w:rsidRDefault="00000000" w:rsidRPr="00000000" w14:paraId="00000009">
      <w:pPr>
        <w:spacing w:after="0" w:before="204" w:line="240" w:lineRule="auto"/>
        <w:jc w:val="both"/>
        <w:rPr>
          <w:rFonts w:ascii="Times New Roman" w:cs="Times New Roman" w:eastAsia="Times New Roman" w:hAnsi="Times New Roman"/>
          <w:i w:val="1"/>
          <w:iCs w:val="1"/>
          <w:sz w:val="24"/>
          <w:szCs w:val="24"/>
        </w:rPr>
      </w:pPr>
      <w:r w:rsidDel="00000000" w:rsidR="00000000" w:rsidRPr="00000000">
        <w:rPr>
          <w:rFonts w:ascii="Arial" w:cs="Arial" w:eastAsia="Arial" w:hAnsi="Arial"/>
          <w:i w:val="1"/>
          <w:iCs w:val="1"/>
          <w:color w:val="000000"/>
          <w:rtl w:val="0"/>
        </w:rPr>
        <w:t xml:space="preserve">.</w:t>
      </w:r>
      <w:r w:rsidDel="00000000" w:rsidR="00000000" w:rsidRPr="00000000">
        <w:rPr>
          <w:rtl w:val="0"/>
        </w:rPr>
      </w:r>
    </w:p>
    <w:p w:rsidR="00000000" w:rsidDel="00000000" w:rsidP="00000000" w:rsidRDefault="00000000" w:rsidRPr="00000000" w14:paraId="0000000A">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Destinatarios:</w:t>
      </w:r>
      <w:r w:rsidDel="00000000" w:rsidR="00000000" w:rsidRPr="00000000">
        <w:rPr>
          <w:rtl w:val="0"/>
        </w:rPr>
      </w:r>
    </w:p>
    <w:p w:rsidR="00000000" w:rsidDel="00000000" w:rsidP="00000000" w:rsidRDefault="00000000" w:rsidRPr="00000000" w14:paraId="0000000B">
      <w:pPr>
        <w:spacing w:after="0" w:line="360" w:lineRule="auto"/>
        <w:rPr>
          <w:rFonts w:ascii="Arial" w:cs="Arial" w:eastAsia="Arial" w:hAnsi="Arial"/>
          <w:i w:val="1"/>
          <w:iCs w:val="1"/>
        </w:rPr>
      </w:pPr>
      <w:r w:rsidDel="00000000" w:rsidR="00000000" w:rsidRPr="00000000">
        <w:rPr>
          <w:rFonts w:ascii="Arial" w:cs="Arial" w:eastAsia="Arial" w:hAnsi="Arial"/>
          <w:color w:val="000000"/>
          <w:rtl w:val="0"/>
        </w:rPr>
        <w:t xml:space="preserve">La propuesta está destinada a personal dependiente de la Superintendencia de Policía Científica, sin distinción de Subescalafón, jerarquía o formación académica obtenida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Semipresencial.</w:t>
      </w:r>
    </w:p>
    <w:p w:rsidR="00000000" w:rsidDel="00000000" w:rsidP="00000000" w:rsidRDefault="00000000" w:rsidRPr="00000000" w14:paraId="0000000F">
      <w:pPr>
        <w:spacing w:after="0"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i w:val="1"/>
          <w:iCs w:val="1"/>
          <w:color w:val="000000"/>
          <w:rtl w:val="0"/>
        </w:rPr>
        <w:t xml:space="preserve">60 horas reloj.</w:t>
      </w:r>
    </w:p>
    <w:p w:rsidR="00000000" w:rsidDel="00000000" w:rsidP="00000000" w:rsidRDefault="00000000" w:rsidRPr="00000000" w14:paraId="0000001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3">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Ediciones: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edición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Mes de abril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25 vacantes.</w:t>
      </w:r>
      <w:r w:rsidDel="00000000" w:rsidR="00000000" w:rsidRPr="00000000">
        <w:rPr>
          <w:rtl w:val="0"/>
        </w:rPr>
      </w:r>
    </w:p>
    <w:p w:rsidR="00000000" w:rsidDel="00000000" w:rsidP="00000000" w:rsidRDefault="00000000" w:rsidRPr="00000000" w14:paraId="0000001B">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C">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b w:val="0"/>
          <w:bCs w:val="0"/>
          <w:i w:val="1"/>
          <w:iCs w:val="1"/>
          <w:color w:val="000000"/>
          <w:sz w:val="22"/>
          <w:szCs w:val="22"/>
          <w:rtl w:val="0"/>
        </w:rPr>
        <w:t xml:space="preserve">Teléfono institucional: (221)</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sz w:val="22"/>
          <w:szCs w:val="22"/>
          <w:rtl w:val="0"/>
        </w:rPr>
        <w:t xml:space="preserve">423-4047 /424-2075</w:t>
      </w:r>
      <w:r w:rsidDel="00000000" w:rsidR="00000000" w:rsidRPr="00000000">
        <w:rPr>
          <w:rtl w:val="0"/>
        </w:rPr>
      </w:r>
    </w:p>
    <w:p w:rsidR="00000000" w:rsidDel="00000000" w:rsidP="00000000" w:rsidRDefault="00000000" w:rsidRPr="00000000" w14:paraId="0000001D">
      <w:pPr>
        <w:pStyle w:val="Heading1"/>
        <w:spacing w:after="0" w:before="0" w:line="360" w:lineRule="auto"/>
        <w:jc w:val="both"/>
        <w:rPr>
          <w:rFonts w:ascii="Arial" w:cs="Arial" w:eastAsia="Arial" w:hAnsi="Arial"/>
        </w:rPr>
      </w:pPr>
      <w:bookmarkStart w:colFirst="0" w:colLast="0" w:name="_heading=h.f9b254jdql8t" w:id="0"/>
      <w:bookmarkEnd w:id="0"/>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Textoindependiente">
    <w:name w:val="Body Text"/>
    <w:basedOn w:val="Normal"/>
    <w:link w:val="TextoindependienteCar"/>
    <w:uiPriority w:val="99"/>
    <w:semiHidden w:val="1"/>
    <w:unhideWhenUsed w:val="1"/>
    <w:rsid w:val="00D34899"/>
    <w:pPr>
      <w:spacing w:after="120"/>
    </w:pPr>
  </w:style>
  <w:style w:type="character" w:styleId="TextoindependienteCar" w:customStyle="1">
    <w:name w:val="Texto independiente Car"/>
    <w:basedOn w:val="Fuentedeprrafopredeter"/>
    <w:link w:val="Textoindependiente"/>
    <w:uiPriority w:val="99"/>
    <w:semiHidden w:val="1"/>
    <w:rsid w:val="00D34899"/>
  </w:style>
  <w:style w:type="paragraph" w:styleId="Prrafodelista">
    <w:name w:val="List Paragraph"/>
    <w:basedOn w:val="Normal"/>
    <w:uiPriority w:val="34"/>
    <w:qFormat w:val="1"/>
    <w:rsid w:val="00D348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wfiPYkMvzYVCgNblUqkgyE2SQ==">CgMxLjAyDmguZjliMjU0amRxbDh0OAByITE5ZmZpYXU2NHZtejNnOUdvSFlJVUpKNVlTX1owWkktVw==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2026-02-03T15:29:00Z</dcterms:created>
  <dc:creator>Lau FERRARI</dc:creator>
</cp:coreProperties>
</file>